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F6" w:rsidRPr="003578A3" w:rsidRDefault="009C3BF6" w:rsidP="009C3BF6">
      <w:pPr>
        <w:jc w:val="center"/>
        <w:rPr>
          <w:sz w:val="18"/>
          <w:szCs w:val="18"/>
        </w:rPr>
      </w:pPr>
      <w:r w:rsidRPr="00A848AB">
        <w:rPr>
          <w:rFonts w:hAnsi="ＭＳ 明朝"/>
          <w:b/>
          <w:kern w:val="0"/>
          <w:sz w:val="24"/>
        </w:rPr>
        <w:t>公営地下鉄の効率性と規模の経済性</w:t>
      </w:r>
    </w:p>
    <w:p w:rsidR="009C3BF6" w:rsidRPr="00A848AB" w:rsidRDefault="009C3BF6" w:rsidP="009C3BF6">
      <w:pPr>
        <w:jc w:val="center"/>
        <w:rPr>
          <w:kern w:val="0"/>
          <w:sz w:val="21"/>
          <w:szCs w:val="21"/>
        </w:rPr>
      </w:pPr>
    </w:p>
    <w:p w:rsidR="009C3BF6" w:rsidRPr="00A848AB" w:rsidRDefault="009C3BF6" w:rsidP="009C3BF6">
      <w:pPr>
        <w:jc w:val="center"/>
        <w:rPr>
          <w:kern w:val="0"/>
          <w:sz w:val="21"/>
          <w:szCs w:val="21"/>
        </w:rPr>
      </w:pPr>
      <w:r w:rsidRPr="00A848AB">
        <w:rPr>
          <w:rFonts w:hAnsi="ＭＳ 明朝"/>
          <w:kern w:val="0"/>
          <w:sz w:val="21"/>
          <w:szCs w:val="21"/>
        </w:rPr>
        <w:t>中山</w:t>
      </w:r>
      <w:r w:rsidRPr="00A848AB">
        <w:rPr>
          <w:kern w:val="0"/>
          <w:sz w:val="21"/>
          <w:szCs w:val="21"/>
        </w:rPr>
        <w:t xml:space="preserve"> </w:t>
      </w:r>
      <w:r w:rsidRPr="00A848AB">
        <w:rPr>
          <w:rFonts w:hAnsi="ＭＳ 明朝"/>
          <w:kern w:val="0"/>
          <w:sz w:val="21"/>
          <w:szCs w:val="21"/>
        </w:rPr>
        <w:t>徳良（名古屋</w:t>
      </w:r>
      <w:smartTag w:uri="schemas-densijiten-jp/ddviewer" w:element="DDviewer">
        <w:smartTag w:uri="schemas-densijiten-jp/ddviewer" w:element="DDviewer">
          <w:r w:rsidRPr="00A848AB">
            <w:rPr>
              <w:rFonts w:hAnsi="ＭＳ 明朝"/>
              <w:kern w:val="0"/>
              <w:sz w:val="21"/>
              <w:szCs w:val="21"/>
            </w:rPr>
            <w:t>市立</w:t>
          </w:r>
        </w:smartTag>
        <w:smartTag w:uri="schemas-densijiten-jp/ddviewer" w:element="DDviewer">
          <w:r w:rsidRPr="00A848AB">
            <w:rPr>
              <w:rFonts w:hAnsi="ＭＳ 明朝"/>
              <w:kern w:val="0"/>
              <w:sz w:val="21"/>
              <w:szCs w:val="21"/>
            </w:rPr>
            <w:t>大学</w:t>
          </w:r>
        </w:smartTag>
      </w:smartTag>
      <w:r w:rsidRPr="00A848AB">
        <w:rPr>
          <w:rFonts w:hAnsi="ＭＳ 明朝"/>
          <w:kern w:val="0"/>
          <w:sz w:val="21"/>
          <w:szCs w:val="21"/>
        </w:rPr>
        <w:t>）</w:t>
      </w:r>
    </w:p>
    <w:p w:rsidR="009C3BF6" w:rsidRPr="00A848AB" w:rsidRDefault="009C3BF6" w:rsidP="009C3BF6">
      <w:pPr>
        <w:ind w:firstLine="947"/>
        <w:rPr>
          <w:sz w:val="21"/>
          <w:szCs w:val="21"/>
        </w:rPr>
      </w:pPr>
    </w:p>
    <w:p w:rsidR="009C3BF6" w:rsidRDefault="009C3BF6" w:rsidP="009C3BF6">
      <w:pPr>
        <w:ind w:firstLineChars="100" w:firstLine="237"/>
        <w:rPr>
          <w:rFonts w:hAnsi="ＭＳ 明朝"/>
          <w:sz w:val="21"/>
          <w:szCs w:val="21"/>
        </w:rPr>
      </w:pPr>
      <w:smartTag w:uri="schemas-densijiten-jp/ddviewer" w:element="DDviewer">
        <w:r w:rsidRPr="00AA753F">
          <w:rPr>
            <w:rFonts w:hint="eastAsia"/>
            <w:kern w:val="0"/>
            <w:sz w:val="21"/>
            <w:szCs w:val="21"/>
          </w:rPr>
          <w:t>本</w:t>
        </w:r>
        <w:smartTag w:uri="schemas-densijiten-jp/ddviewer" w:element="DDviewer">
          <w:r w:rsidRPr="00AA753F">
            <w:rPr>
              <w:rFonts w:hint="eastAsia"/>
              <w:kern w:val="0"/>
              <w:sz w:val="21"/>
              <w:szCs w:val="21"/>
            </w:rPr>
            <w:t>論</w:t>
          </w:r>
        </w:smartTag>
      </w:smartTag>
      <w:r w:rsidRPr="00AA753F">
        <w:rPr>
          <w:rFonts w:hint="eastAsia"/>
          <w:kern w:val="0"/>
          <w:sz w:val="21"/>
          <w:szCs w:val="21"/>
        </w:rPr>
        <w:t>文では，わが国の</w:t>
      </w:r>
      <w:r>
        <w:rPr>
          <w:rFonts w:hint="eastAsia"/>
          <w:kern w:val="0"/>
          <w:sz w:val="21"/>
          <w:szCs w:val="21"/>
        </w:rPr>
        <w:t>公営地下鉄事業</w:t>
      </w:r>
      <w:r w:rsidRPr="00AA753F">
        <w:rPr>
          <w:rFonts w:hint="eastAsia"/>
          <w:kern w:val="0"/>
          <w:sz w:val="21"/>
          <w:szCs w:val="21"/>
        </w:rPr>
        <w:t>について</w:t>
      </w:r>
      <w:r>
        <w:rPr>
          <w:rFonts w:hint="eastAsia"/>
          <w:kern w:val="0"/>
          <w:sz w:val="21"/>
          <w:szCs w:val="21"/>
        </w:rPr>
        <w:t>配分非効率性，技術非効率性，</w:t>
      </w:r>
      <w:r w:rsidRPr="00AA753F">
        <w:rPr>
          <w:rFonts w:hint="eastAsia"/>
          <w:kern w:val="0"/>
          <w:sz w:val="21"/>
          <w:szCs w:val="21"/>
        </w:rPr>
        <w:t>規模の</w:t>
      </w:r>
      <w:smartTag w:uri="schemas-densijiten-jp/ddviewer" w:element="DDviewer">
        <w:r w:rsidRPr="00AA753F">
          <w:rPr>
            <w:rFonts w:hint="eastAsia"/>
            <w:kern w:val="0"/>
            <w:sz w:val="21"/>
            <w:szCs w:val="21"/>
          </w:rPr>
          <w:t>経済</w:t>
        </w:r>
      </w:smartTag>
      <w:r w:rsidRPr="00AA753F">
        <w:rPr>
          <w:rFonts w:hint="eastAsia"/>
          <w:kern w:val="0"/>
          <w:sz w:val="21"/>
          <w:szCs w:val="21"/>
        </w:rPr>
        <w:t>性を</w:t>
      </w:r>
      <w:smartTag w:uri="schemas-densijiten-jp/ddviewer" w:element="DDviewer">
        <w:r w:rsidRPr="00AA753F">
          <w:rPr>
            <w:rFonts w:hint="eastAsia"/>
            <w:kern w:val="0"/>
            <w:sz w:val="21"/>
            <w:szCs w:val="21"/>
          </w:rPr>
          <w:t>測定</w:t>
        </w:r>
      </w:smartTag>
      <w:r w:rsidRPr="00AA753F">
        <w:rPr>
          <w:rFonts w:hint="eastAsia"/>
          <w:kern w:val="0"/>
          <w:sz w:val="21"/>
          <w:szCs w:val="21"/>
        </w:rPr>
        <w:t>することを</w:t>
      </w:r>
      <w:smartTag w:uri="schemas-densijiten-jp/ddviewer" w:element="DDviewer">
        <w:r w:rsidRPr="00AA753F">
          <w:rPr>
            <w:rFonts w:hint="eastAsia"/>
            <w:kern w:val="0"/>
            <w:sz w:val="21"/>
            <w:szCs w:val="21"/>
          </w:rPr>
          <w:t>目的</w:t>
        </w:r>
      </w:smartTag>
      <w:r w:rsidRPr="00AA753F">
        <w:rPr>
          <w:rFonts w:hint="eastAsia"/>
          <w:kern w:val="0"/>
          <w:sz w:val="21"/>
          <w:szCs w:val="21"/>
        </w:rPr>
        <w:t>としている</w:t>
      </w:r>
      <w:r>
        <w:rPr>
          <w:rFonts w:hint="eastAsia"/>
          <w:kern w:val="0"/>
          <w:sz w:val="21"/>
          <w:szCs w:val="21"/>
        </w:rPr>
        <w:t>．</w:t>
      </w:r>
      <w:r w:rsidRPr="00A848AB">
        <w:rPr>
          <w:rFonts w:hAnsi="ＭＳ 明朝"/>
          <w:sz w:val="21"/>
          <w:szCs w:val="21"/>
        </w:rPr>
        <w:t>公営地下鉄は地方公営企業として経営されており，必ずしも費用を最小化するように行動していないと思われる．わが国の地下鉄の費用関数を推定した研究もすでにいくつか行われている．しかし，それらの研究では，費用最小化を想定した通常の費用関数が推定され，規模の経済性や全要素生産性が計測されている．それに対して本論文では，先行研究が用いているような通常の費用関数ではなく，</w:t>
      </w:r>
      <w:r>
        <w:rPr>
          <w:rFonts w:hAnsi="ＭＳ 明朝" w:hint="eastAsia"/>
          <w:sz w:val="21"/>
          <w:szCs w:val="21"/>
        </w:rPr>
        <w:t>一般化</w:t>
      </w:r>
      <w:r w:rsidRPr="00A848AB">
        <w:rPr>
          <w:rFonts w:hAnsi="ＭＳ 明朝"/>
          <w:sz w:val="21"/>
          <w:szCs w:val="21"/>
        </w:rPr>
        <w:t>費用関数を用いて分析をする．この方法は，事業者が直面している現実の生産要素価格において費用を最小化しておらず，シャドー価格において費用最小化しているとして，観察された価格とシャドー価格の乖離を推定する方法である．</w:t>
      </w:r>
    </w:p>
    <w:p w:rsidR="005E698C" w:rsidRDefault="009C3BF6" w:rsidP="009C3BF6">
      <w:pPr>
        <w:ind w:firstLineChars="100" w:firstLine="237"/>
        <w:rPr>
          <w:rFonts w:hAnsi="ＭＳ 明朝"/>
          <w:sz w:val="21"/>
          <w:szCs w:val="21"/>
        </w:rPr>
      </w:pPr>
      <w:r w:rsidRPr="00A848AB">
        <w:rPr>
          <w:rFonts w:hAnsi="ＭＳ 明朝"/>
          <w:sz w:val="21"/>
          <w:szCs w:val="21"/>
        </w:rPr>
        <w:t>公営地下鉄</w:t>
      </w:r>
      <w:r w:rsidRPr="00A848AB">
        <w:rPr>
          <w:sz w:val="21"/>
          <w:szCs w:val="21"/>
        </w:rPr>
        <w:t>9</w:t>
      </w:r>
      <w:r w:rsidRPr="00A848AB">
        <w:rPr>
          <w:rFonts w:hAnsi="ＭＳ 明朝"/>
          <w:sz w:val="21"/>
          <w:szCs w:val="21"/>
        </w:rPr>
        <w:t>社の</w:t>
      </w:r>
      <w:r w:rsidRPr="00A848AB">
        <w:rPr>
          <w:sz w:val="21"/>
          <w:szCs w:val="21"/>
        </w:rPr>
        <w:t>1996</w:t>
      </w:r>
      <w:r w:rsidRPr="00A848AB">
        <w:rPr>
          <w:rFonts w:hAnsi="ＭＳ 明朝"/>
          <w:sz w:val="21"/>
          <w:szCs w:val="21"/>
        </w:rPr>
        <w:t>年から</w:t>
      </w:r>
      <w:r w:rsidRPr="00A848AB">
        <w:rPr>
          <w:sz w:val="21"/>
          <w:szCs w:val="21"/>
        </w:rPr>
        <w:t>2008</w:t>
      </w:r>
      <w:r>
        <w:rPr>
          <w:rFonts w:hAnsi="ＭＳ 明朝"/>
          <w:sz w:val="21"/>
          <w:szCs w:val="21"/>
        </w:rPr>
        <w:t>年までのパネルデータを用い</w:t>
      </w:r>
      <w:r>
        <w:rPr>
          <w:rFonts w:hAnsi="ＭＳ 明朝" w:hint="eastAsia"/>
          <w:sz w:val="21"/>
          <w:szCs w:val="21"/>
        </w:rPr>
        <w:t>て一般化費用関数の推定を行っている</w:t>
      </w:r>
      <w:r w:rsidRPr="00A848AB">
        <w:rPr>
          <w:rFonts w:hAnsi="ＭＳ 明朝"/>
          <w:sz w:val="21"/>
          <w:szCs w:val="21"/>
        </w:rPr>
        <w:t>．</w:t>
      </w:r>
      <w:r>
        <w:rPr>
          <w:rFonts w:hAnsi="ＭＳ 明朝" w:hint="eastAsia"/>
          <w:sz w:val="21"/>
          <w:szCs w:val="21"/>
        </w:rPr>
        <w:t>一般化費用関数の推定により得られた主要な結果は次の</w:t>
      </w:r>
      <w:r>
        <w:rPr>
          <w:rFonts w:hAnsi="ＭＳ 明朝" w:hint="eastAsia"/>
          <w:sz w:val="21"/>
          <w:szCs w:val="21"/>
        </w:rPr>
        <w:t>3</w:t>
      </w:r>
      <w:r>
        <w:rPr>
          <w:rFonts w:hAnsi="ＭＳ 明朝" w:hint="eastAsia"/>
          <w:sz w:val="21"/>
          <w:szCs w:val="21"/>
        </w:rPr>
        <w:t>つである．</w:t>
      </w:r>
      <w:r>
        <w:rPr>
          <w:rFonts w:hAnsi="ＭＳ 明朝" w:hint="eastAsia"/>
          <w:sz w:val="21"/>
          <w:szCs w:val="21"/>
        </w:rPr>
        <w:t>1</w:t>
      </w:r>
      <w:r>
        <w:rPr>
          <w:rFonts w:hAnsi="ＭＳ 明朝" w:hint="eastAsia"/>
          <w:sz w:val="21"/>
          <w:szCs w:val="21"/>
        </w:rPr>
        <w:t>つめは，わが国の公営地下鉄はその他投入要素と比べて労働を過少に使用していることを示したことである．</w:t>
      </w:r>
      <w:r>
        <w:rPr>
          <w:rFonts w:hAnsi="ＭＳ 明朝" w:hint="eastAsia"/>
          <w:sz w:val="21"/>
          <w:szCs w:val="21"/>
        </w:rPr>
        <w:t>2</w:t>
      </w:r>
      <w:r>
        <w:rPr>
          <w:rFonts w:hAnsi="ＭＳ 明朝" w:hint="eastAsia"/>
          <w:sz w:val="21"/>
          <w:szCs w:val="21"/>
        </w:rPr>
        <w:t>つめは，</w:t>
      </w:r>
      <w:r w:rsidRPr="00FB2E6F">
        <w:rPr>
          <w:rFonts w:hAnsi="ＭＳ 明朝" w:hint="eastAsia"/>
          <w:sz w:val="21"/>
          <w:szCs w:val="21"/>
        </w:rPr>
        <w:t>配分非効率性は</w:t>
      </w:r>
      <w:r>
        <w:rPr>
          <w:rFonts w:hAnsi="ＭＳ 明朝" w:hint="eastAsia"/>
          <w:sz w:val="21"/>
          <w:szCs w:val="21"/>
        </w:rPr>
        <w:t>0.05</w:t>
      </w:r>
      <w:r w:rsidRPr="00FB2E6F">
        <w:rPr>
          <w:rFonts w:hAnsi="ＭＳ 明朝" w:hint="eastAsia"/>
          <w:sz w:val="21"/>
          <w:szCs w:val="21"/>
        </w:rPr>
        <w:t>％程度であ</w:t>
      </w:r>
      <w:r>
        <w:rPr>
          <w:rFonts w:hAnsi="ＭＳ 明朝" w:hint="eastAsia"/>
          <w:sz w:val="21"/>
          <w:szCs w:val="21"/>
        </w:rPr>
        <w:t>り，技術非効率性は</w:t>
      </w:r>
      <w:r>
        <w:rPr>
          <w:rFonts w:hAnsi="ＭＳ 明朝" w:hint="eastAsia"/>
          <w:sz w:val="21"/>
          <w:szCs w:val="21"/>
        </w:rPr>
        <w:t>1.8</w:t>
      </w:r>
      <w:r>
        <w:rPr>
          <w:rFonts w:hAnsi="ＭＳ 明朝" w:hint="eastAsia"/>
          <w:sz w:val="21"/>
          <w:szCs w:val="21"/>
        </w:rPr>
        <w:t>程度であることを示したことである</w:t>
      </w:r>
      <w:r w:rsidRPr="00FB2E6F">
        <w:rPr>
          <w:rFonts w:hAnsi="ＭＳ 明朝" w:hint="eastAsia"/>
          <w:sz w:val="21"/>
          <w:szCs w:val="21"/>
        </w:rPr>
        <w:t>．</w:t>
      </w:r>
      <w:r>
        <w:rPr>
          <w:rFonts w:hAnsi="ＭＳ 明朝" w:hint="eastAsia"/>
          <w:sz w:val="21"/>
          <w:szCs w:val="21"/>
        </w:rPr>
        <w:t>3</w:t>
      </w:r>
      <w:r>
        <w:rPr>
          <w:rFonts w:hAnsi="ＭＳ 明朝" w:hint="eastAsia"/>
          <w:sz w:val="21"/>
          <w:szCs w:val="21"/>
        </w:rPr>
        <w:t>つめは</w:t>
      </w:r>
      <w:r w:rsidRPr="00FB2E6F">
        <w:rPr>
          <w:rFonts w:hAnsi="ＭＳ 明朝" w:hint="eastAsia"/>
          <w:sz w:val="21"/>
          <w:szCs w:val="21"/>
        </w:rPr>
        <w:t>，</w:t>
      </w:r>
      <w:r>
        <w:rPr>
          <w:rFonts w:hAnsi="ＭＳ 明朝" w:hint="eastAsia"/>
          <w:sz w:val="21"/>
          <w:szCs w:val="21"/>
        </w:rPr>
        <w:t>費用関数の近似点</w:t>
      </w:r>
      <w:r w:rsidRPr="00FB2E6F">
        <w:rPr>
          <w:rFonts w:hAnsi="ＭＳ 明朝" w:hint="eastAsia"/>
          <w:sz w:val="21"/>
          <w:szCs w:val="21"/>
        </w:rPr>
        <w:t>において</w:t>
      </w:r>
      <w:r>
        <w:rPr>
          <w:rFonts w:hAnsi="ＭＳ 明朝" w:hint="eastAsia"/>
          <w:sz w:val="21"/>
          <w:szCs w:val="21"/>
        </w:rPr>
        <w:t>規模の不経済が存在していることを</w:t>
      </w:r>
      <w:r w:rsidRPr="00FB2E6F">
        <w:rPr>
          <w:rFonts w:hAnsi="ＭＳ 明朝" w:hint="eastAsia"/>
          <w:sz w:val="21"/>
          <w:szCs w:val="21"/>
        </w:rPr>
        <w:t>確認</w:t>
      </w:r>
      <w:r>
        <w:rPr>
          <w:rFonts w:hAnsi="ＭＳ 明朝" w:hint="eastAsia"/>
          <w:sz w:val="21"/>
          <w:szCs w:val="21"/>
        </w:rPr>
        <w:t>したことである</w:t>
      </w:r>
      <w:r w:rsidRPr="00FB2E6F">
        <w:rPr>
          <w:rFonts w:hAnsi="ＭＳ 明朝" w:hint="eastAsia"/>
          <w:sz w:val="21"/>
          <w:szCs w:val="21"/>
        </w:rPr>
        <w:t>．</w:t>
      </w:r>
    </w:p>
    <w:p w:rsidR="005E698C" w:rsidRDefault="005E698C">
      <w:pPr>
        <w:widowControl/>
        <w:jc w:val="left"/>
        <w:rPr>
          <w:rFonts w:hAnsi="ＭＳ 明朝"/>
          <w:sz w:val="21"/>
          <w:szCs w:val="21"/>
        </w:rPr>
      </w:pPr>
      <w:r>
        <w:rPr>
          <w:rFonts w:hAnsi="ＭＳ 明朝"/>
          <w:sz w:val="21"/>
          <w:szCs w:val="21"/>
        </w:rPr>
        <w:br w:type="page"/>
      </w:r>
    </w:p>
    <w:p w:rsidR="005E698C" w:rsidRPr="00A848AB" w:rsidRDefault="005E698C" w:rsidP="005E698C">
      <w:pPr>
        <w:jc w:val="center"/>
        <w:rPr>
          <w:b/>
          <w:kern w:val="0"/>
          <w:sz w:val="24"/>
          <w:szCs w:val="24"/>
        </w:rPr>
      </w:pPr>
      <w:r w:rsidRPr="00A848AB">
        <w:rPr>
          <w:b/>
          <w:kern w:val="0"/>
          <w:sz w:val="24"/>
          <w:szCs w:val="24"/>
        </w:rPr>
        <w:lastRenderedPageBreak/>
        <w:t>Efficiency and Economies of Scale of Public Subways in Japan</w:t>
      </w:r>
    </w:p>
    <w:p w:rsidR="005E698C" w:rsidRPr="00A848AB" w:rsidRDefault="005E698C" w:rsidP="005E698C">
      <w:pPr>
        <w:pStyle w:val="a6"/>
        <w:tabs>
          <w:tab w:val="clear" w:pos="4252"/>
          <w:tab w:val="clear" w:pos="8504"/>
        </w:tabs>
        <w:snapToGrid/>
        <w:jc w:val="center"/>
        <w:rPr>
          <w:kern w:val="0"/>
          <w:szCs w:val="21"/>
        </w:rPr>
      </w:pPr>
    </w:p>
    <w:p w:rsidR="005E698C" w:rsidRPr="00A848AB" w:rsidRDefault="005E698C" w:rsidP="005E698C">
      <w:pPr>
        <w:jc w:val="center"/>
        <w:rPr>
          <w:kern w:val="0"/>
          <w:sz w:val="21"/>
          <w:szCs w:val="21"/>
        </w:rPr>
      </w:pPr>
      <w:r w:rsidRPr="00A848AB">
        <w:rPr>
          <w:kern w:val="0"/>
          <w:sz w:val="21"/>
          <w:szCs w:val="21"/>
        </w:rPr>
        <w:t>No</w:t>
      </w:r>
      <w:smartTag w:uri="schemas-densijiten-jp/ddviewer" w:element="DDviewer">
        <w:r w:rsidRPr="00A848AB">
          <w:rPr>
            <w:kern w:val="0"/>
            <w:sz w:val="21"/>
            <w:szCs w:val="21"/>
          </w:rPr>
          <w:t>ri</w:t>
        </w:r>
        <w:smartTag w:uri="schemas-densijiten-jp/ddviewer" w:element="DDviewer">
          <w:r w:rsidRPr="00A848AB">
            <w:rPr>
              <w:kern w:val="0"/>
              <w:sz w:val="21"/>
              <w:szCs w:val="21"/>
            </w:rPr>
            <w:t>y</w:t>
          </w:r>
          <w:smartTag w:uri="schemas-densijiten-jp/ddviewer" w:element="DDviewer">
            <w:r w:rsidRPr="00A848AB">
              <w:rPr>
                <w:kern w:val="0"/>
                <w:sz w:val="21"/>
                <w:szCs w:val="21"/>
              </w:rPr>
              <w:t>o</w:t>
            </w:r>
          </w:smartTag>
        </w:smartTag>
      </w:smartTag>
      <w:r w:rsidRPr="00A848AB">
        <w:rPr>
          <w:kern w:val="0"/>
          <w:sz w:val="21"/>
          <w:szCs w:val="21"/>
        </w:rPr>
        <w:t xml:space="preserve">shi </w:t>
      </w:r>
      <w:smartTag w:uri="schemas-densijiten-jp/ddviewer" w:element="DDviewer">
        <w:r w:rsidRPr="00A848AB">
          <w:rPr>
            <w:kern w:val="0"/>
            <w:sz w:val="21"/>
            <w:szCs w:val="21"/>
          </w:rPr>
          <w:t>Na</w:t>
        </w:r>
        <w:smartTag w:uri="schemas-densijiten-jp/ddviewer" w:element="DDviewer">
          <w:r w:rsidRPr="00A848AB">
            <w:rPr>
              <w:kern w:val="0"/>
              <w:sz w:val="21"/>
              <w:szCs w:val="21"/>
            </w:rPr>
            <w:t>k</w:t>
          </w:r>
          <w:smartTag w:uri="schemas-densijiten-jp/ddviewer" w:element="DDviewer">
            <w:r w:rsidRPr="00A848AB">
              <w:rPr>
                <w:kern w:val="0"/>
                <w:sz w:val="21"/>
                <w:szCs w:val="21"/>
              </w:rPr>
              <w:t>a</w:t>
            </w:r>
          </w:smartTag>
        </w:smartTag>
      </w:smartTag>
      <w:smartTag w:uri="schemas-densijiten-jp/ddviewer" w:element="DDviewer">
        <w:r w:rsidRPr="00A848AB">
          <w:rPr>
            <w:kern w:val="0"/>
            <w:sz w:val="21"/>
            <w:szCs w:val="21"/>
          </w:rPr>
          <w:t>yama</w:t>
        </w:r>
      </w:smartTag>
      <w:r w:rsidRPr="00A848AB">
        <w:rPr>
          <w:kern w:val="0"/>
          <w:sz w:val="21"/>
          <w:szCs w:val="21"/>
        </w:rPr>
        <w:t xml:space="preserve"> (Na</w:t>
      </w:r>
      <w:smartTag w:uri="schemas-densijiten-jp/ddviewer" w:element="DDviewer">
        <w:r w:rsidRPr="00A848AB">
          <w:rPr>
            <w:kern w:val="0"/>
            <w:sz w:val="21"/>
            <w:szCs w:val="21"/>
          </w:rPr>
          <w:t>goya</w:t>
        </w:r>
      </w:smartTag>
      <w:r w:rsidRPr="00A848AB">
        <w:rPr>
          <w:kern w:val="0"/>
          <w:sz w:val="21"/>
          <w:szCs w:val="21"/>
        </w:rPr>
        <w:t xml:space="preserve"> </w:t>
      </w:r>
      <w:smartTag w:uri="schemas-densijiten-jp/ddviewer" w:element="DDviewer">
        <w:r w:rsidRPr="00A848AB">
          <w:rPr>
            <w:kern w:val="0"/>
            <w:sz w:val="21"/>
            <w:szCs w:val="21"/>
          </w:rPr>
          <w:t>City</w:t>
        </w:r>
      </w:smartTag>
      <w:r w:rsidRPr="00A848AB">
        <w:rPr>
          <w:kern w:val="0"/>
          <w:sz w:val="21"/>
          <w:szCs w:val="21"/>
        </w:rPr>
        <w:t xml:space="preserve"> </w:t>
      </w:r>
      <w:smartTag w:uri="schemas-densijiten-jp/ddviewer" w:element="DDviewer">
        <w:smartTag w:uri="schemas-densijiten-jp/ddviewer" w:element="DDviewer">
          <w:r w:rsidRPr="00A848AB">
            <w:rPr>
              <w:kern w:val="0"/>
              <w:sz w:val="21"/>
              <w:szCs w:val="21"/>
            </w:rPr>
            <w:t>Uni</w:t>
          </w:r>
          <w:smartTag w:uri="schemas-densijiten-jp/ddviewer" w:element="DDviewer">
            <w:r w:rsidRPr="00A848AB">
              <w:rPr>
                <w:kern w:val="0"/>
                <w:sz w:val="21"/>
                <w:szCs w:val="21"/>
              </w:rPr>
              <w:t>v</w:t>
            </w:r>
          </w:smartTag>
        </w:smartTag>
        <w:r w:rsidRPr="00A848AB">
          <w:rPr>
            <w:kern w:val="0"/>
            <w:sz w:val="21"/>
            <w:szCs w:val="21"/>
          </w:rPr>
          <w:t>ersity</w:t>
        </w:r>
      </w:smartTag>
      <w:r w:rsidRPr="00A848AB">
        <w:rPr>
          <w:kern w:val="0"/>
          <w:sz w:val="21"/>
          <w:szCs w:val="21"/>
        </w:rPr>
        <w:t>)</w:t>
      </w:r>
    </w:p>
    <w:p w:rsidR="005E698C" w:rsidRPr="00A848AB" w:rsidRDefault="005E698C" w:rsidP="005E698C">
      <w:pPr>
        <w:rPr>
          <w:sz w:val="21"/>
          <w:szCs w:val="21"/>
        </w:rPr>
      </w:pPr>
    </w:p>
    <w:p w:rsidR="005E698C" w:rsidRDefault="005E698C" w:rsidP="005E698C">
      <w:pPr>
        <w:ind w:firstLineChars="150" w:firstLine="355"/>
        <w:rPr>
          <w:kern w:val="0"/>
          <w:sz w:val="21"/>
          <w:szCs w:val="21"/>
        </w:rPr>
      </w:pPr>
      <w:r w:rsidRPr="00AA753F">
        <w:rPr>
          <w:rFonts w:hint="eastAsia"/>
          <w:kern w:val="0"/>
          <w:sz w:val="21"/>
          <w:szCs w:val="21"/>
        </w:rPr>
        <w:t xml:space="preserve">The purpose of this paper is to </w:t>
      </w:r>
      <w:r>
        <w:rPr>
          <w:rFonts w:hint="eastAsia"/>
          <w:kern w:val="0"/>
          <w:sz w:val="21"/>
          <w:szCs w:val="21"/>
        </w:rPr>
        <w:t>estimate</w:t>
      </w:r>
      <w:r w:rsidRPr="00AA753F">
        <w:rPr>
          <w:rFonts w:hint="eastAsia"/>
          <w:kern w:val="0"/>
          <w:sz w:val="21"/>
          <w:szCs w:val="21"/>
        </w:rPr>
        <w:t xml:space="preserve"> </w:t>
      </w:r>
      <w:r>
        <w:rPr>
          <w:rFonts w:hint="eastAsia"/>
          <w:kern w:val="0"/>
          <w:sz w:val="21"/>
          <w:szCs w:val="21"/>
        </w:rPr>
        <w:t>allocative in</w:t>
      </w:r>
      <w:r w:rsidRPr="00A848AB">
        <w:rPr>
          <w:kern w:val="0"/>
          <w:sz w:val="21"/>
          <w:szCs w:val="21"/>
        </w:rPr>
        <w:t>efficiency</w:t>
      </w:r>
      <w:r>
        <w:rPr>
          <w:rFonts w:hint="eastAsia"/>
          <w:kern w:val="0"/>
          <w:sz w:val="21"/>
          <w:szCs w:val="21"/>
        </w:rPr>
        <w:t>, technical inefficiency</w:t>
      </w:r>
      <w:r w:rsidRPr="00A848AB">
        <w:rPr>
          <w:kern w:val="0"/>
          <w:sz w:val="21"/>
          <w:szCs w:val="21"/>
        </w:rPr>
        <w:t xml:space="preserve"> and economies of s</w:t>
      </w:r>
      <w:r>
        <w:rPr>
          <w:kern w:val="0"/>
          <w:sz w:val="21"/>
          <w:szCs w:val="21"/>
        </w:rPr>
        <w:t>cale of public subways in Japan</w:t>
      </w:r>
      <w:r>
        <w:rPr>
          <w:rFonts w:hint="eastAsia"/>
          <w:kern w:val="0"/>
          <w:sz w:val="21"/>
          <w:szCs w:val="21"/>
        </w:rPr>
        <w:t xml:space="preserve">. </w:t>
      </w:r>
      <w:r w:rsidRPr="00A848AB">
        <w:rPr>
          <w:kern w:val="0"/>
          <w:sz w:val="21"/>
          <w:szCs w:val="21"/>
        </w:rPr>
        <w:t xml:space="preserve">Because almost all Japanese subways are public-owned firms, they may choose a non-cost-minimizing set of inputs. However, the previous studies estimate cost functions of subways that </w:t>
      </w:r>
      <w:r w:rsidRPr="00A848AB">
        <w:rPr>
          <w:sz w:val="21"/>
          <w:szCs w:val="21"/>
        </w:rPr>
        <w:t xml:space="preserve">are derived from </w:t>
      </w:r>
      <w:r w:rsidRPr="00A848AB">
        <w:rPr>
          <w:kern w:val="0"/>
          <w:sz w:val="21"/>
          <w:szCs w:val="21"/>
        </w:rPr>
        <w:t xml:space="preserve">cost minimization behavior and measure economies of scale and total factor productivity. We use not a standard </w:t>
      </w:r>
      <w:r>
        <w:rPr>
          <w:rFonts w:hint="eastAsia"/>
          <w:kern w:val="0"/>
          <w:sz w:val="21"/>
          <w:szCs w:val="21"/>
        </w:rPr>
        <w:t xml:space="preserve">variable </w:t>
      </w:r>
      <w:r w:rsidRPr="00A848AB">
        <w:rPr>
          <w:kern w:val="0"/>
          <w:sz w:val="21"/>
          <w:szCs w:val="21"/>
        </w:rPr>
        <w:t xml:space="preserve">cost function but a </w:t>
      </w:r>
      <w:r>
        <w:rPr>
          <w:rFonts w:hint="eastAsia"/>
          <w:kern w:val="0"/>
          <w:sz w:val="21"/>
          <w:szCs w:val="21"/>
        </w:rPr>
        <w:t>generalized</w:t>
      </w:r>
      <w:r w:rsidRPr="00A848AB">
        <w:rPr>
          <w:kern w:val="0"/>
          <w:sz w:val="21"/>
          <w:szCs w:val="21"/>
        </w:rPr>
        <w:t xml:space="preserve"> </w:t>
      </w:r>
      <w:r>
        <w:rPr>
          <w:rFonts w:hint="eastAsia"/>
          <w:kern w:val="0"/>
          <w:sz w:val="21"/>
          <w:szCs w:val="21"/>
        </w:rPr>
        <w:t xml:space="preserve">variable </w:t>
      </w:r>
      <w:r w:rsidRPr="00A848AB">
        <w:rPr>
          <w:kern w:val="0"/>
          <w:sz w:val="21"/>
          <w:szCs w:val="21"/>
        </w:rPr>
        <w:t xml:space="preserve">cost function approach. The </w:t>
      </w:r>
      <w:r>
        <w:rPr>
          <w:rFonts w:hint="eastAsia"/>
          <w:kern w:val="0"/>
          <w:sz w:val="21"/>
          <w:szCs w:val="21"/>
        </w:rPr>
        <w:t>generalized</w:t>
      </w:r>
      <w:r w:rsidRPr="00A848AB">
        <w:rPr>
          <w:kern w:val="0"/>
          <w:sz w:val="21"/>
          <w:szCs w:val="21"/>
        </w:rPr>
        <w:t xml:space="preserve"> cost function assumes shadow cost minimization but not actual cost minimization. </w:t>
      </w:r>
    </w:p>
    <w:p w:rsidR="005E698C" w:rsidRPr="00237838" w:rsidRDefault="005E698C" w:rsidP="005E698C">
      <w:pPr>
        <w:ind w:firstLineChars="150" w:firstLine="355"/>
        <w:rPr>
          <w:kern w:val="0"/>
          <w:sz w:val="21"/>
          <w:szCs w:val="21"/>
        </w:rPr>
      </w:pPr>
      <w:r w:rsidRPr="00A848AB">
        <w:rPr>
          <w:kern w:val="0"/>
          <w:sz w:val="21"/>
          <w:szCs w:val="21"/>
        </w:rPr>
        <w:t xml:space="preserve">We </w:t>
      </w:r>
      <w:r w:rsidRPr="00A848AB">
        <w:rPr>
          <w:sz w:val="21"/>
          <w:szCs w:val="21"/>
        </w:rPr>
        <w:t xml:space="preserve">estimate the </w:t>
      </w:r>
      <w:r>
        <w:rPr>
          <w:rFonts w:hint="eastAsia"/>
          <w:sz w:val="21"/>
          <w:szCs w:val="21"/>
        </w:rPr>
        <w:t>generalized</w:t>
      </w:r>
      <w:r w:rsidRPr="00A848AB">
        <w:rPr>
          <w:sz w:val="21"/>
          <w:szCs w:val="21"/>
        </w:rPr>
        <w:t xml:space="preserve"> cost function</w:t>
      </w:r>
      <w:r w:rsidRPr="00A848AB">
        <w:rPr>
          <w:kern w:val="0"/>
          <w:sz w:val="21"/>
          <w:szCs w:val="21"/>
        </w:rPr>
        <w:t xml:space="preserve"> using panel data for </w:t>
      </w:r>
      <w:r w:rsidRPr="00A848AB">
        <w:rPr>
          <w:sz w:val="21"/>
          <w:szCs w:val="21"/>
        </w:rPr>
        <w:t xml:space="preserve">9 publicly-owned firms in the years 1996 to 2008. </w:t>
      </w:r>
      <w:r w:rsidRPr="00AA753F">
        <w:rPr>
          <w:kern w:val="0"/>
          <w:sz w:val="21"/>
          <w:szCs w:val="21"/>
        </w:rPr>
        <w:t>O</w:t>
      </w:r>
      <w:r w:rsidRPr="00AA753F">
        <w:rPr>
          <w:rFonts w:hint="eastAsia"/>
          <w:kern w:val="0"/>
          <w:sz w:val="21"/>
          <w:szCs w:val="21"/>
        </w:rPr>
        <w:t>u</w:t>
      </w:r>
      <w:r>
        <w:rPr>
          <w:rFonts w:hint="eastAsia"/>
          <w:kern w:val="0"/>
          <w:sz w:val="21"/>
          <w:szCs w:val="21"/>
        </w:rPr>
        <w:t>r main results are as follows. First,</w:t>
      </w:r>
      <w:r w:rsidRPr="00A848AB">
        <w:rPr>
          <w:kern w:val="0"/>
          <w:sz w:val="21"/>
          <w:szCs w:val="21"/>
        </w:rPr>
        <w:t xml:space="preserve"> </w:t>
      </w:r>
      <w:r>
        <w:rPr>
          <w:rFonts w:hint="eastAsia"/>
          <w:kern w:val="0"/>
          <w:sz w:val="21"/>
          <w:szCs w:val="21"/>
        </w:rPr>
        <w:t xml:space="preserve">the firms are underutilizing labor to </w:t>
      </w:r>
      <w:r>
        <w:rPr>
          <w:kern w:val="0"/>
          <w:sz w:val="21"/>
          <w:szCs w:val="21"/>
        </w:rPr>
        <w:t>material</w:t>
      </w:r>
      <w:r>
        <w:rPr>
          <w:rFonts w:hint="eastAsia"/>
          <w:kern w:val="0"/>
          <w:sz w:val="21"/>
          <w:szCs w:val="21"/>
        </w:rPr>
        <w:t xml:space="preserve">s. Second, average allocative inefficiency is about 0.05 percent of </w:t>
      </w:r>
      <w:r w:rsidRPr="00CA348F">
        <w:rPr>
          <w:rFonts w:hint="eastAsia"/>
          <w:kern w:val="0"/>
          <w:sz w:val="21"/>
          <w:szCs w:val="21"/>
        </w:rPr>
        <w:t>variable cost</w:t>
      </w:r>
      <w:r>
        <w:rPr>
          <w:rFonts w:hint="eastAsia"/>
          <w:kern w:val="0"/>
          <w:sz w:val="21"/>
          <w:szCs w:val="21"/>
        </w:rPr>
        <w:t xml:space="preserve"> and average technical inefficiency is about 1.8</w:t>
      </w:r>
      <w:r w:rsidRPr="00CA348F">
        <w:rPr>
          <w:rFonts w:hint="eastAsia"/>
          <w:kern w:val="0"/>
          <w:sz w:val="21"/>
          <w:szCs w:val="21"/>
        </w:rPr>
        <w:t xml:space="preserve">. Third, </w:t>
      </w:r>
      <w:r>
        <w:rPr>
          <w:rFonts w:hint="eastAsia"/>
          <w:kern w:val="0"/>
          <w:sz w:val="21"/>
          <w:szCs w:val="21"/>
        </w:rPr>
        <w:t>dis</w:t>
      </w:r>
      <w:r w:rsidRPr="00CA348F">
        <w:rPr>
          <w:rFonts w:hint="eastAsia"/>
          <w:kern w:val="0"/>
          <w:sz w:val="21"/>
          <w:szCs w:val="21"/>
        </w:rPr>
        <w:t xml:space="preserve">economies of scale exist at </w:t>
      </w:r>
      <w:r w:rsidRPr="00CA348F">
        <w:rPr>
          <w:rFonts w:hint="eastAsia"/>
          <w:sz w:val="21"/>
          <w:szCs w:val="21"/>
        </w:rPr>
        <w:t xml:space="preserve">the point of </w:t>
      </w:r>
      <w:r w:rsidRPr="00CA348F">
        <w:rPr>
          <w:sz w:val="21"/>
          <w:szCs w:val="21"/>
        </w:rPr>
        <w:t>approximation</w:t>
      </w:r>
      <w:r w:rsidRPr="00CA348F">
        <w:rPr>
          <w:rFonts w:hint="eastAsia"/>
          <w:sz w:val="21"/>
          <w:szCs w:val="21"/>
        </w:rPr>
        <w:t xml:space="preserve"> of the cost function. </w:t>
      </w:r>
    </w:p>
    <w:p w:rsidR="003D65F5" w:rsidRPr="005E698C" w:rsidRDefault="003D65F5" w:rsidP="009C3BF6">
      <w:pPr>
        <w:ind w:firstLineChars="100" w:firstLine="237"/>
        <w:rPr>
          <w:rFonts w:hAnsi="ＭＳ 明朝" w:hint="eastAsia"/>
          <w:sz w:val="21"/>
          <w:szCs w:val="21"/>
        </w:rPr>
      </w:pPr>
    </w:p>
    <w:sectPr w:rsidR="003D65F5" w:rsidRPr="005E698C" w:rsidSect="009C3BF6">
      <w:pgSz w:w="11906" w:h="16838" w:code="9"/>
      <w:pgMar w:top="1418" w:right="1134" w:bottom="1701" w:left="1701" w:header="851" w:footer="992" w:gutter="0"/>
      <w:cols w:space="425"/>
      <w:docGrid w:type="linesAndChars" w:linePitch="457" w:charSpace="54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10" w:rsidRDefault="002F1110" w:rsidP="005E698C">
      <w:r>
        <w:separator/>
      </w:r>
    </w:p>
  </w:endnote>
  <w:endnote w:type="continuationSeparator" w:id="0">
    <w:p w:rsidR="002F1110" w:rsidRDefault="002F1110" w:rsidP="005E69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10" w:rsidRDefault="002F1110" w:rsidP="005E698C">
      <w:r>
        <w:separator/>
      </w:r>
    </w:p>
  </w:footnote>
  <w:footnote w:type="continuationSeparator" w:id="0">
    <w:p w:rsidR="002F1110" w:rsidRDefault="002F1110" w:rsidP="005E6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BF6"/>
    <w:rsid w:val="00110D0B"/>
    <w:rsid w:val="001F790B"/>
    <w:rsid w:val="002F1110"/>
    <w:rsid w:val="003D65F5"/>
    <w:rsid w:val="00475651"/>
    <w:rsid w:val="00523B02"/>
    <w:rsid w:val="005E698C"/>
    <w:rsid w:val="0069315D"/>
    <w:rsid w:val="009C3BF6"/>
    <w:rsid w:val="00AD42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F6"/>
    <w:pPr>
      <w:widowControl w:val="0"/>
      <w:jc w:val="both"/>
    </w:pPr>
    <w:rPr>
      <w:kern w:val="2"/>
    </w:rPr>
  </w:style>
  <w:style w:type="paragraph" w:styleId="2">
    <w:name w:val="heading 2"/>
    <w:basedOn w:val="a"/>
    <w:next w:val="a"/>
    <w:link w:val="20"/>
    <w:semiHidden/>
    <w:unhideWhenUsed/>
    <w:qFormat/>
    <w:rsid w:val="0069315D"/>
    <w:pPr>
      <w:keepNext/>
      <w:spacing w:line="320" w:lineRule="exact"/>
      <w:ind w:firstLineChars="400" w:firstLine="885"/>
      <w:outlineLvl w:val="1"/>
    </w:pPr>
    <w:rPr>
      <w:rFonts w:asciiTheme="majorHAnsi" w:eastAsiaTheme="majorEastAsia" w:hAnsiTheme="majorHAnsi" w:cstheme="majorBidi"/>
      <w:position w:val="-12"/>
      <w:sz w:val="22"/>
      <w:szCs w:val="24"/>
    </w:rPr>
  </w:style>
  <w:style w:type="paragraph" w:styleId="3">
    <w:name w:val="heading 3"/>
    <w:basedOn w:val="a"/>
    <w:next w:val="a"/>
    <w:link w:val="30"/>
    <w:semiHidden/>
    <w:unhideWhenUsed/>
    <w:qFormat/>
    <w:rsid w:val="0069315D"/>
    <w:pPr>
      <w:keepNext/>
      <w:spacing w:line="320" w:lineRule="exact"/>
      <w:ind w:leftChars="400" w:left="400" w:firstLineChars="400" w:firstLine="885"/>
      <w:outlineLvl w:val="2"/>
    </w:pPr>
    <w:rPr>
      <w:rFonts w:asciiTheme="majorHAnsi" w:eastAsiaTheme="majorEastAsia" w:hAnsiTheme="majorHAnsi" w:cstheme="majorBidi"/>
      <w:position w:val="-1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69315D"/>
    <w:rPr>
      <w:rFonts w:asciiTheme="majorHAnsi" w:eastAsiaTheme="majorEastAsia" w:hAnsiTheme="majorHAnsi" w:cstheme="majorBidi"/>
      <w:kern w:val="2"/>
      <w:position w:val="-12"/>
      <w:sz w:val="22"/>
      <w:szCs w:val="24"/>
    </w:rPr>
  </w:style>
  <w:style w:type="character" w:customStyle="1" w:styleId="30">
    <w:name w:val="見出し 3 (文字)"/>
    <w:basedOn w:val="a0"/>
    <w:link w:val="3"/>
    <w:semiHidden/>
    <w:rsid w:val="0069315D"/>
    <w:rPr>
      <w:rFonts w:asciiTheme="majorHAnsi" w:eastAsiaTheme="majorEastAsia" w:hAnsiTheme="majorHAnsi" w:cstheme="majorBidi"/>
      <w:kern w:val="2"/>
      <w:position w:val="-12"/>
      <w:sz w:val="22"/>
      <w:szCs w:val="24"/>
    </w:rPr>
  </w:style>
  <w:style w:type="paragraph" w:styleId="a3">
    <w:name w:val="List Paragraph"/>
    <w:basedOn w:val="a"/>
    <w:uiPriority w:val="34"/>
    <w:qFormat/>
    <w:rsid w:val="0069315D"/>
    <w:pPr>
      <w:spacing w:line="320" w:lineRule="exact"/>
      <w:ind w:leftChars="400" w:left="840" w:firstLineChars="400" w:firstLine="885"/>
    </w:pPr>
    <w:rPr>
      <w:rFonts w:cs="ＭＳ Ｐゴシック"/>
      <w:position w:val="-12"/>
      <w:sz w:val="22"/>
      <w:szCs w:val="24"/>
    </w:rPr>
  </w:style>
  <w:style w:type="paragraph" w:styleId="a4">
    <w:name w:val="Title"/>
    <w:basedOn w:val="a"/>
    <w:next w:val="a"/>
    <w:link w:val="a5"/>
    <w:qFormat/>
    <w:rsid w:val="00110D0B"/>
    <w:pPr>
      <w:adjustRightInd w:val="0"/>
      <w:spacing w:after="360" w:line="360" w:lineRule="exact"/>
      <w:ind w:firstLineChars="400" w:firstLine="885"/>
      <w:jc w:val="center"/>
    </w:pPr>
    <w:rPr>
      <w:rFonts w:ascii="Times New Roman" w:eastAsia="ＭＳ ゴシック"/>
      <w:kern w:val="0"/>
      <w:position w:val="-12"/>
      <w:sz w:val="32"/>
    </w:rPr>
  </w:style>
  <w:style w:type="character" w:customStyle="1" w:styleId="a5">
    <w:name w:val="表題 (文字)"/>
    <w:basedOn w:val="a0"/>
    <w:link w:val="a4"/>
    <w:rsid w:val="00AD4207"/>
    <w:rPr>
      <w:rFonts w:ascii="Times New Roman" w:eastAsia="ＭＳ ゴシック"/>
      <w:position w:val="-12"/>
      <w:sz w:val="32"/>
    </w:rPr>
  </w:style>
  <w:style w:type="paragraph" w:styleId="a6">
    <w:name w:val="footer"/>
    <w:basedOn w:val="a"/>
    <w:link w:val="a7"/>
    <w:uiPriority w:val="99"/>
    <w:rsid w:val="009C3BF6"/>
    <w:pPr>
      <w:tabs>
        <w:tab w:val="center" w:pos="4252"/>
        <w:tab w:val="right" w:pos="8504"/>
      </w:tabs>
      <w:snapToGrid w:val="0"/>
    </w:pPr>
    <w:rPr>
      <w:sz w:val="21"/>
      <w:szCs w:val="24"/>
    </w:rPr>
  </w:style>
  <w:style w:type="character" w:customStyle="1" w:styleId="a7">
    <w:name w:val="フッター (文字)"/>
    <w:basedOn w:val="a0"/>
    <w:link w:val="a6"/>
    <w:uiPriority w:val="99"/>
    <w:rsid w:val="009C3BF6"/>
    <w:rPr>
      <w:kern w:val="2"/>
      <w:sz w:val="21"/>
      <w:szCs w:val="24"/>
    </w:rPr>
  </w:style>
  <w:style w:type="paragraph" w:styleId="a8">
    <w:name w:val="header"/>
    <w:basedOn w:val="a"/>
    <w:link w:val="a9"/>
    <w:uiPriority w:val="99"/>
    <w:semiHidden/>
    <w:unhideWhenUsed/>
    <w:rsid w:val="005E698C"/>
    <w:pPr>
      <w:tabs>
        <w:tab w:val="center" w:pos="4252"/>
        <w:tab w:val="right" w:pos="8504"/>
      </w:tabs>
      <w:snapToGrid w:val="0"/>
    </w:pPr>
  </w:style>
  <w:style w:type="character" w:customStyle="1" w:styleId="a9">
    <w:name w:val="ヘッダー (文字)"/>
    <w:basedOn w:val="a0"/>
    <w:link w:val="a8"/>
    <w:uiPriority w:val="99"/>
    <w:semiHidden/>
    <w:rsid w:val="005E698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1495</Characters>
  <Application>Microsoft Office Word</Application>
  <DocSecurity>0</DocSecurity>
  <Lines>12</Lines>
  <Paragraphs>3</Paragraphs>
  <ScaleCrop>false</ScaleCrop>
  <Company>Hewlett-Packard</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dc:creator>
  <cp:lastModifiedBy> </cp:lastModifiedBy>
  <cp:revision>2</cp:revision>
  <dcterms:created xsi:type="dcterms:W3CDTF">2010-09-09T05:04:00Z</dcterms:created>
  <dcterms:modified xsi:type="dcterms:W3CDTF">2010-09-09T05:04:00Z</dcterms:modified>
</cp:coreProperties>
</file>